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温州首届“十大网络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文艺标兵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”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评选细则</w:t>
      </w:r>
    </w:p>
    <w:p>
      <w:pPr>
        <w:widowControl/>
        <w:adjustRightInd w:val="0"/>
        <w:spacing w:line="360" w:lineRule="auto"/>
        <w:ind w:left="44" w:leftChars="21" w:right="45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为顺利推进温州首届“十大网络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文艺标兵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”评选活动，特制订本办法。</w:t>
      </w:r>
    </w:p>
    <w:p>
      <w:pPr>
        <w:widowControl/>
        <w:adjustRightInd w:val="0"/>
        <w:spacing w:line="600" w:lineRule="exact"/>
        <w:ind w:firstLine="643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一、评选宗旨</w:t>
      </w:r>
    </w:p>
    <w:p>
      <w:pPr>
        <w:widowControl/>
        <w:adjustRightInd w:val="0"/>
        <w:spacing w:line="600" w:lineRule="exact"/>
        <w:ind w:firstLine="608" w:firstLineChars="19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引导广大网络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工作者弘扬职业精神，恪守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“爱国、为民、崇德、尚艺”核心价值观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鼓励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网络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文艺工作者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多出精品、多出人才，推动我市网络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文艺队伍建设，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促进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我市网络文艺繁荣发展。</w:t>
      </w:r>
    </w:p>
    <w:p>
      <w:pPr>
        <w:widowControl/>
        <w:adjustRightInd w:val="0"/>
        <w:spacing w:line="600" w:lineRule="exact"/>
        <w:ind w:firstLine="645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二、评选对象</w:t>
      </w:r>
    </w:p>
    <w:p>
      <w:pPr>
        <w:widowControl/>
        <w:adjustRightInd w:val="0"/>
        <w:spacing w:line="600" w:lineRule="exact"/>
        <w:ind w:firstLine="63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生活、工作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在全市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区域内，并从事文艺（包含文学、戏剧、音乐、舞蹈、美术、书法、摄影、民间文艺、曲艺、电影、电视、朗诵等）创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、展演，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热心网络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文艺传播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事业，积极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参加网络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志愿服务活动的人员均可参评。</w:t>
      </w:r>
    </w:p>
    <w:p>
      <w:pPr>
        <w:widowControl/>
        <w:adjustRightInd w:val="0"/>
        <w:spacing w:line="600" w:lineRule="exact"/>
        <w:ind w:firstLine="643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三、评选标准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在本地区、本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艺术门类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具有较大社会影响力的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网络文艺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与网站签约的文艺作品和文艺人才；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得到网站编辑推荐播出的文艺作品和文艺人才；</w:t>
      </w:r>
    </w:p>
    <w:p>
      <w:p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、在网络搜索引擎排名首页的文艺作品和文艺人才；</w:t>
      </w:r>
    </w:p>
    <w:p>
      <w:p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参评的人员或作品，在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网络上具有可观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点击量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文艺作品和文艺人才；</w:t>
      </w:r>
    </w:p>
    <w:p>
      <w:pPr>
        <w:autoSpaceDE w:val="0"/>
        <w:autoSpaceDN w:val="0"/>
        <w:adjustRightInd w:val="0"/>
        <w:spacing w:line="600" w:lineRule="exact"/>
        <w:ind w:firstLine="752" w:firstLineChars="23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6、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的作品在宣传系统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、权威机构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主办的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网络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比赛中获奖的。</w:t>
      </w:r>
    </w:p>
    <w:p>
      <w:pPr>
        <w:widowControl/>
        <w:adjustRightInd w:val="0"/>
        <w:spacing w:line="600" w:lineRule="exact"/>
        <w:ind w:firstLine="63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从事网络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文艺制作、传播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工作，无不良职业道德记录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文艺作品和文艺人才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3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四、评选程序</w:t>
      </w:r>
    </w:p>
    <w:p>
      <w:pPr>
        <w:widowControl/>
        <w:adjustRightInd w:val="0"/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1、报名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。报名方式分为单位推荐和个人自荐。温州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市文化广电新闻出版局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、温州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市文学艺术界联合会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各推荐20名参评人员，各县（市、区）委宣传部各推荐5名参评人员。其他单位可以推荐本单位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从事网络文艺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人员参评，个人也可以自己报名参加评选。推荐评选材料接收截止时间为3月2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参评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人员将以下材料寄（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）至温州市府东路发展大楼北幢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603室（联系人：金培林，联系电话：88960307）。</w:t>
      </w:r>
    </w:p>
    <w:p>
      <w:pPr>
        <w:widowControl/>
        <w:adjustRightInd w:val="0"/>
        <w:spacing w:line="600" w:lineRule="exact"/>
        <w:ind w:firstLine="643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(1)首届年度网络人物评选推荐表（见附件）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)参评者事迹介绍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00字以内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业务成果；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身份证复印件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（4）提供证明从事网络文艺创作、传播的有关资料；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（5）单位推荐要签字并盖章；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（6）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介绍材料与"参评者推荐表"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统一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装订，一式10份；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)打印或复印一律用A4纸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评选办公室对上报的材料进行核实。材料造假者则取消参评资格。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="630" w:firstLineChars="196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zh-CN"/>
        </w:rPr>
        <w:t>初评。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评选委员会根据评选标准，从中筛选出20名候选人。</w:t>
      </w:r>
    </w:p>
    <w:p>
      <w:pPr>
        <w:autoSpaceDE w:val="0"/>
        <w:autoSpaceDN w:val="0"/>
        <w:adjustRightInd w:val="0"/>
        <w:spacing w:line="360" w:lineRule="auto"/>
        <w:ind w:firstLine="592" w:firstLineChars="18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zh-CN"/>
        </w:rPr>
        <w:t>复评。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组织网上投票，发动网民对20名候选人进行投票评选。</w:t>
      </w:r>
    </w:p>
    <w:p>
      <w:pPr>
        <w:autoSpaceDE w:val="0"/>
        <w:autoSpaceDN w:val="0"/>
        <w:adjustRightInd w:val="0"/>
        <w:spacing w:line="600" w:lineRule="exact"/>
        <w:ind w:firstLine="594" w:firstLineChars="185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zh-CN"/>
        </w:rPr>
        <w:t>、终评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。根据候选人投票得票数，结合专家评委评分，综合计算总成绩。根据得分高低，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最终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确定温州首届年度十大网络文艺标兵。</w:t>
      </w:r>
    </w:p>
    <w:p>
      <w:pPr>
        <w:widowControl/>
        <w:adjustRightInd w:val="0"/>
        <w:spacing w:line="600" w:lineRule="exact"/>
        <w:ind w:firstLine="630" w:firstLineChars="196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4、奖励。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评选产生“十大网络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文艺标兵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”，授予证书，予以表彰奖励，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并宣传其先进事迹。</w:t>
      </w:r>
    </w:p>
    <w:p>
      <w:pPr>
        <w:widowControl/>
        <w:spacing w:line="60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　</w:t>
      </w:r>
    </w:p>
    <w:p>
      <w:pPr>
        <w:widowControl/>
        <w:spacing w:line="60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                             </w:t>
      </w:r>
    </w:p>
    <w:p>
      <w:pPr>
        <w:widowControl/>
        <w:spacing w:line="60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440" w:firstLineChars="17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温州市文联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2016年3月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zh-CN"/>
        </w:rPr>
        <w:t>首届年度网络人物评选推荐表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zh-CN"/>
        </w:rPr>
      </w:pPr>
    </w:p>
    <w:p>
      <w:pPr>
        <w:widowControl/>
        <w:spacing w:after="156" w:afterLines="50"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参评类别：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8"/>
        <w:gridCol w:w="10"/>
        <w:gridCol w:w="1050"/>
        <w:gridCol w:w="650"/>
        <w:gridCol w:w="743"/>
        <w:gridCol w:w="628"/>
        <w:gridCol w:w="68"/>
        <w:gridCol w:w="859"/>
        <w:gridCol w:w="457"/>
        <w:gridCol w:w="442"/>
        <w:gridCol w:w="90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单位（或联系地址）</w:t>
            </w:r>
          </w:p>
        </w:tc>
        <w:tc>
          <w:tcPr>
            <w:tcW w:w="3405" w:type="dxa"/>
            <w:gridSpan w:val="6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推荐人</w:t>
            </w:r>
          </w:p>
        </w:tc>
        <w:tc>
          <w:tcPr>
            <w:tcW w:w="2443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>推荐人联系电话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4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主要事迹（不少于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字，可附后）</w:t>
            </w:r>
          </w:p>
        </w:tc>
        <w:tc>
          <w:tcPr>
            <w:tcW w:w="7527" w:type="dxa"/>
            <w:gridSpan w:val="10"/>
            <w:vAlign w:val="top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1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推</w:t>
            </w:r>
          </w:p>
          <w:p>
            <w:pPr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荐</w:t>
            </w:r>
          </w:p>
          <w:p>
            <w:pPr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139" w:type="dxa"/>
            <w:gridSpan w:val="5"/>
            <w:vAlign w:val="top"/>
          </w:tcPr>
          <w:p>
            <w:pPr>
              <w:widowControl/>
              <w:spacing w:line="520" w:lineRule="exact"/>
              <w:ind w:left="927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7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6" w:leftChars="441" w:firstLine="280" w:firstLineChars="100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6" w:leftChars="441" w:firstLine="280" w:firstLineChars="100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529" w:type="dxa"/>
            <w:gridSpan w:val="4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7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7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927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left="522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注：</w:t>
      </w:r>
    </w:p>
    <w:p>
      <w:pPr>
        <w:spacing w:line="40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</w:t>
      </w:r>
      <w:r>
        <w:rPr>
          <w:rFonts w:hint="eastAsia" w:eastAsia="仿宋_GB2312"/>
          <w:color w:val="000000"/>
          <w:sz w:val="28"/>
          <w:szCs w:val="28"/>
        </w:rPr>
        <w:t>．</w:t>
      </w:r>
      <w:r>
        <w:rPr>
          <w:rFonts w:eastAsia="仿宋_GB2312"/>
          <w:color w:val="000000"/>
          <w:sz w:val="28"/>
          <w:szCs w:val="28"/>
        </w:rPr>
        <w:t>先进事迹摘要在</w:t>
      </w:r>
      <w:r>
        <w:rPr>
          <w:rFonts w:hint="eastAsia" w:eastAsia="仿宋_GB2312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00</w:t>
      </w:r>
      <w:r>
        <w:rPr>
          <w:rFonts w:hint="eastAsia" w:eastAsia="仿宋_GB2312"/>
          <w:color w:val="000000"/>
          <w:sz w:val="28"/>
          <w:szCs w:val="28"/>
        </w:rPr>
        <w:t>0</w:t>
      </w:r>
      <w:r>
        <w:rPr>
          <w:rFonts w:eastAsia="仿宋_GB2312"/>
          <w:color w:val="000000"/>
          <w:sz w:val="28"/>
          <w:szCs w:val="28"/>
        </w:rPr>
        <w:t>字左右，如本表填写不下，可另加附页；</w:t>
      </w:r>
    </w:p>
    <w:p>
      <w:pPr>
        <w:spacing w:line="400" w:lineRule="exact"/>
        <w:ind w:firstLine="560" w:firstLineChars="200"/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hint="eastAsia" w:eastAsia="仿宋_GB2312"/>
          <w:color w:val="000000"/>
          <w:sz w:val="28"/>
          <w:szCs w:val="28"/>
        </w:rPr>
        <w:t>．</w:t>
      </w:r>
      <w:r>
        <w:rPr>
          <w:rFonts w:eastAsia="仿宋_GB2312"/>
          <w:color w:val="000000"/>
          <w:sz w:val="28"/>
          <w:szCs w:val="28"/>
        </w:rPr>
        <w:t>本表一式三份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  <w:sz w:val="21"/>
        <w:szCs w:val="21"/>
      </w:rPr>
    </w:pPr>
    <w:r>
      <w:rPr>
        <w:rStyle w:val="4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4"/>
        <w:sz w:val="21"/>
        <w:szCs w:val="21"/>
        <w:lang w:val="zh-CN" w:eastAsia="zh-CN"/>
      </w:rPr>
      <w:t>6</w:t>
    </w:r>
    <w:r>
      <w:rPr>
        <w:rFonts w:ascii="宋体" w:hAnsi="宋体"/>
        <w:sz w:val="21"/>
        <w:szCs w:val="21"/>
      </w:rPr>
      <w:fldChar w:fldCharType="end"/>
    </w:r>
    <w:r>
      <w:rPr>
        <w:rStyle w:val="4"/>
        <w:sz w:val="21"/>
        <w:szCs w:val="21"/>
      </w:rPr>
      <w:t xml:space="preserve"> —</w:t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594169">
    <w:nsid w:val="56E11F39"/>
    <w:multiLevelType w:val="singleLevel"/>
    <w:tmpl w:val="56E11F39"/>
    <w:lvl w:ilvl="0" w:tentative="1">
      <w:start w:val="1"/>
      <w:numFmt w:val="decimal"/>
      <w:suff w:val="nothing"/>
      <w:lvlText w:val="%1、"/>
      <w:lvlJc w:val="left"/>
    </w:lvl>
  </w:abstractNum>
  <w:abstractNum w:abstractNumId="1457574252">
    <w:nsid w:val="56E0D16C"/>
    <w:multiLevelType w:val="singleLevel"/>
    <w:tmpl w:val="56E0D16C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57594169"/>
  </w:num>
  <w:num w:numId="2">
    <w:abstractNumId w:val="1457574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C36"/>
    <w:rsid w:val="0A212F03"/>
    <w:rsid w:val="34EB1C36"/>
    <w:rsid w:val="38711BD6"/>
    <w:rsid w:val="47915F26"/>
    <w:rsid w:val="68422B48"/>
    <w:rsid w:val="6D57731D"/>
    <w:rsid w:val="7C6F62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2016-03-09T08:46:00Z</dcterms:created>
  <dc:creator>Administrator</dc:creator>
  <cp:lastModifiedBy>Administrator</cp:lastModifiedBy>
  <dcterms:modified xsi:type="dcterms:W3CDTF">2016-03-16T06:53:19Z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